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  <w:bookmarkStart w:id="0" w:name="_GoBack"/>
      <w:bookmarkEnd w:id="0"/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7EDCDD7F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>interesse per l’affidamento della fornitura di un</w:t>
      </w:r>
      <w:r w:rsidR="009B0453">
        <w:rPr>
          <w:sz w:val="24"/>
          <w:szCs w:val="24"/>
        </w:rPr>
        <w:t>o strumento misuratore portatile di gas serra CO2 (anidride carbonica) e CH4 (metano)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B949CB">
        <w:rPr>
          <w:rFonts w:asciiTheme="minorHAnsi" w:hAnsiTheme="minorHAnsi"/>
          <w:sz w:val="24"/>
          <w:szCs w:val="24"/>
        </w:rPr>
        <w:t>F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B949CB">
        <w:rPr>
          <w:rFonts w:asciiTheme="minorHAnsi" w:hAnsiTheme="minorHAnsi"/>
          <w:sz w:val="24"/>
          <w:szCs w:val="24"/>
        </w:rPr>
        <w:t>560006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B949CB">
        <w:rPr>
          <w:rFonts w:asciiTheme="minorHAnsi" w:hAnsiTheme="minorHAnsi"/>
          <w:sz w:val="24"/>
          <w:szCs w:val="24"/>
        </w:rPr>
        <w:t>ECCSELLENT</w:t>
      </w:r>
      <w:r w:rsidR="00215500" w:rsidRPr="00215500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>attraverso la piattaforma UnityFVG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>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 espletato attraverso la piattaforma 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18127167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9B0453">
      <w:rPr>
        <w:b/>
        <w:bCs/>
        <w:noProof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9B0453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9B0453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949CB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E287B-5A79-49EF-A64D-0BECE74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67841-E15C-4FCB-83F3-E16682BD7E07}">
  <ds:schemaRefs>
    <ds:schemaRef ds:uri="http://schemas.openxmlformats.org/package/2006/metadata/core-properties"/>
    <ds:schemaRef ds:uri="428f5b70-13ba-42f3-9f69-e56fa61f143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beda824-8911-43fa-b1a0-effaf066d0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E3C8A6-61E2-4232-8B0A-323B1A08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10</cp:revision>
  <cp:lastPrinted>2021-11-22T09:53:00Z</cp:lastPrinted>
  <dcterms:created xsi:type="dcterms:W3CDTF">2023-05-12T10:06:00Z</dcterms:created>
  <dcterms:modified xsi:type="dcterms:W3CDTF">2024-01-15T11:11:00Z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